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AE28" w14:textId="3623B217" w:rsidR="001006AC" w:rsidRPr="005D4DAE" w:rsidRDefault="00126C74" w:rsidP="001006AC">
      <w:pPr>
        <w:pStyle w:val="TitelGrau"/>
        <w:spacing w:before="0" w:after="0" w:line="276" w:lineRule="auto"/>
        <w:rPr>
          <w:rFonts w:ascii="Times" w:eastAsia="Batang" w:hAnsi="Times" w:cs="Times New Roman"/>
          <w:caps w:val="0"/>
          <w:color w:val="404040" w:themeColor="text1" w:themeTint="BF"/>
          <w:spacing w:val="0"/>
          <w:kern w:val="0"/>
          <w:sz w:val="16"/>
          <w:szCs w:val="21"/>
        </w:rPr>
      </w:pPr>
      <w:r>
        <w:rPr>
          <w:rFonts w:ascii="Times" w:eastAsia="Batang" w:hAnsi="Times" w:cs="Times New Roman"/>
          <w:caps w:val="0"/>
          <w:color w:val="404040" w:themeColor="text1" w:themeTint="BF"/>
          <w:spacing w:val="0"/>
          <w:kern w:val="0"/>
          <w:sz w:val="16"/>
          <w:szCs w:val="21"/>
        </w:rPr>
        <w:t>Versie 1.2</w:t>
      </w:r>
      <w:bookmarkStart w:id="0" w:name="_GoBack"/>
      <w:bookmarkEnd w:id="0"/>
    </w:p>
    <w:p w14:paraId="643F6FE1" w14:textId="57FBCA13" w:rsidR="000644B1" w:rsidRPr="00486716" w:rsidRDefault="00486716" w:rsidP="000644B1">
      <w:pPr>
        <w:pStyle w:val="TitelGrau"/>
        <w:spacing w:before="0" w:after="0" w:line="276" w:lineRule="auto"/>
        <w:rPr>
          <w:sz w:val="32"/>
        </w:rPr>
      </w:pPr>
      <w:r>
        <w:rPr>
          <w:sz w:val="32"/>
        </w:rPr>
        <w:t>verklaring m.b.t. een</w:t>
      </w:r>
      <w:r w:rsidR="00046810" w:rsidRPr="00486716">
        <w:rPr>
          <w:sz w:val="32"/>
        </w:rPr>
        <w:t xml:space="preserve"> </w:t>
      </w:r>
      <w:r>
        <w:rPr>
          <w:sz w:val="32"/>
        </w:rPr>
        <w:t>boekhoudsysteem</w:t>
      </w:r>
    </w:p>
    <w:p w14:paraId="03C91F66" w14:textId="71841689" w:rsidR="00046810" w:rsidRPr="00486716" w:rsidRDefault="00046810" w:rsidP="000644B1">
      <w:pPr>
        <w:pStyle w:val="Titel"/>
        <w:spacing w:before="0" w:after="0" w:line="276" w:lineRule="auto"/>
        <w:rPr>
          <w:color w:val="00AEC7"/>
          <w:sz w:val="32"/>
        </w:rPr>
      </w:pPr>
      <w:r w:rsidRPr="00486716">
        <w:rPr>
          <w:sz w:val="32"/>
        </w:rPr>
        <w:t>t</w:t>
      </w:r>
      <w:r w:rsidR="00486716">
        <w:rPr>
          <w:sz w:val="32"/>
        </w:rPr>
        <w:t>en behoeve van</w:t>
      </w:r>
      <w:r w:rsidRPr="00486716">
        <w:rPr>
          <w:sz w:val="32"/>
        </w:rPr>
        <w:t xml:space="preserve"> het gebruik</w:t>
      </w:r>
      <w:r w:rsidRPr="00486716">
        <w:rPr>
          <w:color w:val="00AEC7"/>
          <w:sz w:val="32"/>
        </w:rPr>
        <w:t xml:space="preserve"> </w:t>
      </w:r>
    </w:p>
    <w:p w14:paraId="78EF6E81" w14:textId="55C64227" w:rsidR="001006AC" w:rsidRPr="00486716" w:rsidRDefault="00046810" w:rsidP="000644B1">
      <w:pPr>
        <w:pStyle w:val="Titel"/>
        <w:spacing w:before="0" w:after="0" w:line="276" w:lineRule="auto"/>
        <w:rPr>
          <w:color w:val="00AEC7"/>
          <w:sz w:val="32"/>
        </w:rPr>
      </w:pPr>
      <w:r w:rsidRPr="00486716">
        <w:rPr>
          <w:color w:val="00AEC7"/>
          <w:sz w:val="32"/>
        </w:rPr>
        <w:t>van elektronische Bewijsstukken</w:t>
      </w:r>
    </w:p>
    <w:p w14:paraId="738BD9D4" w14:textId="77777777" w:rsidR="00A956AA" w:rsidRPr="00046810" w:rsidRDefault="00A956AA" w:rsidP="00A956AA">
      <w:pPr>
        <w:pStyle w:val="berschrift3"/>
        <w:spacing w:before="0" w:after="0" w:line="276" w:lineRule="auto"/>
        <w:rPr>
          <w:sz w:val="24"/>
          <w:szCs w:val="24"/>
        </w:rPr>
      </w:pPr>
    </w:p>
    <w:p w14:paraId="59DB2DAA" w14:textId="77777777" w:rsidR="00A510A6" w:rsidRPr="00046810" w:rsidRDefault="00A510A6" w:rsidP="00A510A6"/>
    <w:p w14:paraId="5EAB209B" w14:textId="0F3DD97E" w:rsidR="000644B1" w:rsidRPr="00A61A8A" w:rsidRDefault="006A1F46" w:rsidP="00A510A6">
      <w:pPr>
        <w:spacing w:after="0" w:line="360" w:lineRule="auto"/>
        <w:rPr>
          <w:color w:val="404040" w:themeColor="text1" w:themeTint="BF"/>
          <w:szCs w:val="21"/>
        </w:rPr>
      </w:pPr>
      <w:r w:rsidRPr="00A61A8A">
        <w:rPr>
          <w:color w:val="404040" w:themeColor="text1" w:themeTint="BF"/>
          <w:szCs w:val="21"/>
        </w:rPr>
        <w:t>Proje</w:t>
      </w:r>
      <w:r w:rsidR="00046810" w:rsidRPr="00A61A8A">
        <w:rPr>
          <w:color w:val="404040" w:themeColor="text1" w:themeTint="BF"/>
          <w:szCs w:val="21"/>
        </w:rPr>
        <w:t>c</w:t>
      </w:r>
      <w:r w:rsidRPr="00A61A8A">
        <w:rPr>
          <w:color w:val="404040" w:themeColor="text1" w:themeTint="BF"/>
          <w:szCs w:val="21"/>
        </w:rPr>
        <w:t>tpartner</w:t>
      </w:r>
      <w:r w:rsidR="000644B1" w:rsidRPr="00A61A8A">
        <w:rPr>
          <w:color w:val="404040" w:themeColor="text1" w:themeTint="BF"/>
          <w:szCs w:val="21"/>
        </w:rPr>
        <w:t>:</w:t>
      </w:r>
      <w:r w:rsidR="00401C99" w:rsidRPr="00A61A8A">
        <w:rPr>
          <w:color w:val="404040" w:themeColor="text1" w:themeTint="BF"/>
          <w:szCs w:val="21"/>
        </w:rPr>
        <w:tab/>
      </w:r>
      <w:r w:rsidR="00401C99" w:rsidRPr="00A61A8A">
        <w:rPr>
          <w:color w:val="404040" w:themeColor="text1" w:themeTint="BF"/>
          <w:szCs w:val="21"/>
        </w:rPr>
        <w:tab/>
        <w:t>__________________________________________________</w:t>
      </w:r>
    </w:p>
    <w:p w14:paraId="07D92650" w14:textId="099AB6C0" w:rsidR="000644B1" w:rsidRPr="00A61A8A" w:rsidRDefault="000644B1" w:rsidP="00A510A6">
      <w:pPr>
        <w:spacing w:after="0" w:line="360" w:lineRule="auto"/>
        <w:rPr>
          <w:color w:val="404040" w:themeColor="text1" w:themeTint="BF"/>
          <w:szCs w:val="21"/>
        </w:rPr>
      </w:pPr>
      <w:r w:rsidRPr="00A61A8A">
        <w:rPr>
          <w:color w:val="404040" w:themeColor="text1" w:themeTint="BF"/>
          <w:szCs w:val="21"/>
        </w:rPr>
        <w:t>Proje</w:t>
      </w:r>
      <w:r w:rsidR="00046810" w:rsidRPr="00A61A8A">
        <w:rPr>
          <w:color w:val="404040" w:themeColor="text1" w:themeTint="BF"/>
          <w:szCs w:val="21"/>
        </w:rPr>
        <w:t>ct</w:t>
      </w:r>
      <w:r w:rsidRPr="00A61A8A">
        <w:rPr>
          <w:color w:val="404040" w:themeColor="text1" w:themeTint="BF"/>
          <w:szCs w:val="21"/>
        </w:rPr>
        <w:t>:</w:t>
      </w:r>
      <w:r w:rsidR="00046810" w:rsidRPr="00A61A8A">
        <w:rPr>
          <w:color w:val="404040" w:themeColor="text1" w:themeTint="BF"/>
          <w:szCs w:val="21"/>
        </w:rPr>
        <w:tab/>
      </w:r>
      <w:r w:rsidR="00401C99" w:rsidRPr="00A61A8A">
        <w:rPr>
          <w:color w:val="404040" w:themeColor="text1" w:themeTint="BF"/>
          <w:szCs w:val="21"/>
        </w:rPr>
        <w:tab/>
      </w:r>
      <w:r w:rsidR="00401C99" w:rsidRPr="00A61A8A">
        <w:rPr>
          <w:color w:val="404040" w:themeColor="text1" w:themeTint="BF"/>
          <w:szCs w:val="21"/>
        </w:rPr>
        <w:tab/>
        <w:t>__________________________________________________</w:t>
      </w:r>
    </w:p>
    <w:p w14:paraId="397EB609" w14:textId="141BCD2B" w:rsidR="000644B1" w:rsidRPr="00046810" w:rsidRDefault="00046810" w:rsidP="00A510A6">
      <w:pPr>
        <w:spacing w:after="0" w:line="360" w:lineRule="auto"/>
        <w:rPr>
          <w:color w:val="404040" w:themeColor="text1" w:themeTint="BF"/>
          <w:szCs w:val="21"/>
        </w:rPr>
      </w:pPr>
      <w:r w:rsidRPr="00046810">
        <w:rPr>
          <w:color w:val="404040" w:themeColor="text1" w:themeTint="BF"/>
          <w:szCs w:val="21"/>
        </w:rPr>
        <w:t>Naam systeem</w:t>
      </w:r>
      <w:r w:rsidR="000644B1" w:rsidRPr="00046810">
        <w:rPr>
          <w:color w:val="404040" w:themeColor="text1" w:themeTint="BF"/>
          <w:szCs w:val="21"/>
        </w:rPr>
        <w:t>:</w:t>
      </w:r>
      <w:r w:rsidR="007146F4">
        <w:rPr>
          <w:color w:val="404040" w:themeColor="text1" w:themeTint="BF"/>
          <w:szCs w:val="21"/>
        </w:rPr>
        <w:tab/>
      </w:r>
      <w:r w:rsidR="00401C99" w:rsidRPr="00046810">
        <w:rPr>
          <w:color w:val="404040" w:themeColor="text1" w:themeTint="BF"/>
          <w:szCs w:val="21"/>
        </w:rPr>
        <w:tab/>
        <w:t>__________________________________________________</w:t>
      </w:r>
    </w:p>
    <w:p w14:paraId="2724CC23" w14:textId="77777777" w:rsidR="000644B1" w:rsidRPr="00046810" w:rsidRDefault="000644B1" w:rsidP="00046810">
      <w:pPr>
        <w:spacing w:after="0" w:line="276" w:lineRule="auto"/>
        <w:rPr>
          <w:color w:val="404040" w:themeColor="text1" w:themeTint="BF"/>
          <w:szCs w:val="21"/>
        </w:rPr>
      </w:pPr>
    </w:p>
    <w:p w14:paraId="615A221A" w14:textId="77777777" w:rsidR="00A510A6" w:rsidRPr="00046810" w:rsidRDefault="00A510A6" w:rsidP="00046810">
      <w:pPr>
        <w:spacing w:after="0" w:line="276" w:lineRule="auto"/>
        <w:rPr>
          <w:color w:val="404040" w:themeColor="text1" w:themeTint="BF"/>
          <w:szCs w:val="21"/>
        </w:rPr>
      </w:pPr>
    </w:p>
    <w:p w14:paraId="08BFDB87" w14:textId="3A29D3CC" w:rsidR="00046810" w:rsidRPr="00046810" w:rsidRDefault="00486716" w:rsidP="00126C74">
      <w:pPr>
        <w:spacing w:after="0" w:line="276" w:lineRule="auto"/>
        <w:jc w:val="both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H</w:t>
      </w:r>
      <w:r w:rsidR="00046810" w:rsidRPr="00046810">
        <w:rPr>
          <w:color w:val="404040" w:themeColor="text1" w:themeTint="BF"/>
          <w:szCs w:val="21"/>
        </w:rPr>
        <w:t xml:space="preserve">et bovengenoemde systeem ten behoeve van het gebruik van elektronische bewijsstukken </w:t>
      </w:r>
      <w:r>
        <w:rPr>
          <w:color w:val="404040" w:themeColor="text1" w:themeTint="BF"/>
          <w:szCs w:val="21"/>
        </w:rPr>
        <w:t xml:space="preserve">wordt </w:t>
      </w:r>
      <w:r w:rsidR="003D34B3">
        <w:rPr>
          <w:color w:val="404040" w:themeColor="text1" w:themeTint="BF"/>
          <w:szCs w:val="21"/>
        </w:rPr>
        <w:t xml:space="preserve">bij aanvang van het project benut </w:t>
      </w:r>
      <w:r w:rsidR="00046810" w:rsidRPr="00046810">
        <w:rPr>
          <w:color w:val="404040" w:themeColor="text1" w:themeTint="BF"/>
          <w:szCs w:val="21"/>
        </w:rPr>
        <w:t>voor de uitvoering van het genoemde project confo</w:t>
      </w:r>
      <w:r w:rsidR="00046810">
        <w:rPr>
          <w:color w:val="404040" w:themeColor="text1" w:themeTint="BF"/>
          <w:szCs w:val="21"/>
        </w:rPr>
        <w:t>r</w:t>
      </w:r>
      <w:r w:rsidR="00046810" w:rsidRPr="00046810">
        <w:rPr>
          <w:color w:val="404040" w:themeColor="text1" w:themeTint="BF"/>
          <w:szCs w:val="21"/>
        </w:rPr>
        <w:t>m artikel 5.2 van de kaderrichtlijn INTERREG DE-NL en artikel 6.4 van de algemene aanvullende bepalingen INTERREG DE-NL</w:t>
      </w:r>
      <w:r>
        <w:rPr>
          <w:color w:val="404040" w:themeColor="text1" w:themeTint="BF"/>
          <w:szCs w:val="21"/>
        </w:rPr>
        <w:t>.</w:t>
      </w:r>
    </w:p>
    <w:p w14:paraId="005A7E9A" w14:textId="77777777" w:rsidR="000644B1" w:rsidRDefault="000644B1" w:rsidP="00126C74">
      <w:pPr>
        <w:spacing w:after="0" w:line="276" w:lineRule="auto"/>
        <w:rPr>
          <w:color w:val="404040" w:themeColor="text1" w:themeTint="BF"/>
          <w:szCs w:val="21"/>
        </w:rPr>
      </w:pPr>
    </w:p>
    <w:p w14:paraId="4C7D78DA" w14:textId="77777777" w:rsidR="00046810" w:rsidRDefault="00046810" w:rsidP="00126C74">
      <w:pPr>
        <w:spacing w:after="0" w:line="276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Ik verklaar, dat</w:t>
      </w:r>
    </w:p>
    <w:p w14:paraId="5C31DC88" w14:textId="04921432" w:rsidR="000644B1" w:rsidRDefault="000644B1" w:rsidP="00126C74">
      <w:pPr>
        <w:spacing w:after="0" w:line="276" w:lineRule="auto"/>
        <w:rPr>
          <w:color w:val="404040" w:themeColor="text1" w:themeTint="BF"/>
          <w:szCs w:val="21"/>
        </w:rPr>
      </w:pPr>
      <w:r w:rsidRPr="006A1F46">
        <w:rPr>
          <w:color w:val="404040" w:themeColor="text1" w:themeTint="BF"/>
          <w:szCs w:val="21"/>
        </w:rPr>
        <w:t xml:space="preserve"> </w:t>
      </w:r>
    </w:p>
    <w:p w14:paraId="53DD64BA" w14:textId="379010D7" w:rsidR="00046810" w:rsidRDefault="00046810" w:rsidP="00126C74">
      <w:pPr>
        <w:spacing w:after="0" w:line="276" w:lineRule="auto"/>
        <w:rPr>
          <w:b/>
          <w:color w:val="404040" w:themeColor="text1" w:themeTint="BF"/>
          <w:szCs w:val="21"/>
        </w:rPr>
      </w:pPr>
      <w:r w:rsidRPr="00046810">
        <w:rPr>
          <w:b/>
          <w:color w:val="404040" w:themeColor="text1" w:themeTint="BF"/>
          <w:szCs w:val="21"/>
        </w:rPr>
        <w:t>a) wanneer het gaat om projectpartners met zetel in Nederland</w:t>
      </w:r>
      <w:r w:rsidR="00E814FA">
        <w:rPr>
          <w:b/>
          <w:color w:val="404040" w:themeColor="text1" w:themeTint="BF"/>
          <w:szCs w:val="21"/>
        </w:rPr>
        <w:t>:</w:t>
      </w:r>
    </w:p>
    <w:p w14:paraId="417233AF" w14:textId="77777777" w:rsidR="00046810" w:rsidRPr="00046810" w:rsidRDefault="00046810" w:rsidP="00126C74">
      <w:pPr>
        <w:spacing w:after="0" w:line="276" w:lineRule="auto"/>
        <w:rPr>
          <w:b/>
          <w:color w:val="404040" w:themeColor="text1" w:themeTint="BF"/>
          <w:szCs w:val="21"/>
        </w:rPr>
      </w:pPr>
    </w:p>
    <w:p w14:paraId="6651D1E7" w14:textId="5382E4AF" w:rsidR="00DA06DE" w:rsidRPr="00DA5670" w:rsidRDefault="006A1F46" w:rsidP="00DA5670">
      <w:pPr>
        <w:pStyle w:val="Listenabsatz"/>
        <w:numPr>
          <w:ilvl w:val="0"/>
          <w:numId w:val="21"/>
        </w:numPr>
        <w:spacing w:before="0" w:after="0" w:line="276" w:lineRule="auto"/>
        <w:rPr>
          <w:color w:val="00AEC7"/>
          <w:szCs w:val="21"/>
        </w:rPr>
      </w:pPr>
      <w:r w:rsidRPr="000B2365">
        <w:rPr>
          <w:color w:val="404040" w:themeColor="text1" w:themeTint="BF"/>
          <w:szCs w:val="21"/>
        </w:rPr>
        <w:t xml:space="preserve">Het bovengenoemde computersysteem </w:t>
      </w:r>
      <w:r w:rsidRPr="000B2365">
        <w:rPr>
          <w:rFonts w:cs="Times"/>
          <w:color w:val="262626"/>
          <w:szCs w:val="21"/>
        </w:rPr>
        <w:t xml:space="preserve">is voorzien van beheers- en beveiligingsmaatregelen die </w:t>
      </w:r>
      <w:r w:rsidR="00DA06DE" w:rsidRPr="000B2365">
        <w:rPr>
          <w:rFonts w:cs="Times"/>
          <w:color w:val="262626"/>
          <w:szCs w:val="21"/>
        </w:rPr>
        <w:t xml:space="preserve">waarborgen dat de opgeslagen </w:t>
      </w:r>
      <w:r w:rsidR="00893502" w:rsidRPr="000B2365">
        <w:rPr>
          <w:rFonts w:cs="Times"/>
          <w:color w:val="262626"/>
          <w:szCs w:val="21"/>
        </w:rPr>
        <w:t xml:space="preserve">facturen </w:t>
      </w:r>
      <w:r w:rsidR="00DA06DE" w:rsidRPr="000B2365">
        <w:rPr>
          <w:rFonts w:cs="Times"/>
          <w:color w:val="262626"/>
          <w:szCs w:val="21"/>
        </w:rPr>
        <w:t xml:space="preserve">voldoen aan </w:t>
      </w:r>
      <w:r w:rsidRPr="000B2365">
        <w:rPr>
          <w:rFonts w:cs="Times"/>
          <w:color w:val="262626"/>
          <w:szCs w:val="21"/>
        </w:rPr>
        <w:t>de</w:t>
      </w:r>
      <w:r w:rsidR="00DA06DE" w:rsidRPr="000B2365">
        <w:rPr>
          <w:rFonts w:cs="Times"/>
          <w:color w:val="262626"/>
          <w:szCs w:val="21"/>
        </w:rPr>
        <w:t xml:space="preserve"> </w:t>
      </w:r>
      <w:r w:rsidR="00DA06DE" w:rsidRPr="000B2365">
        <w:rPr>
          <w:color w:val="404040" w:themeColor="text1" w:themeTint="BF"/>
          <w:szCs w:val="21"/>
        </w:rPr>
        <w:t>wettelijke eisen aan elektronische facturatie zoals beschreven op de</w:t>
      </w:r>
      <w:r w:rsidR="009801C5" w:rsidRPr="000B2365">
        <w:rPr>
          <w:color w:val="404040" w:themeColor="text1" w:themeTint="BF"/>
          <w:szCs w:val="21"/>
        </w:rPr>
        <w:t xml:space="preserve"> website van de belastingdienst,</w:t>
      </w:r>
      <w:r w:rsidR="00DA06DE" w:rsidRPr="000B2365">
        <w:rPr>
          <w:color w:val="404040" w:themeColor="text1" w:themeTint="BF"/>
          <w:szCs w:val="21"/>
        </w:rPr>
        <w:t xml:space="preserve"> </w:t>
      </w:r>
      <w:r w:rsidR="00DA5670" w:rsidRPr="00DA5670">
        <w:rPr>
          <w:color w:val="404040" w:themeColor="text1" w:themeTint="BF"/>
          <w:szCs w:val="21"/>
        </w:rPr>
        <w:t>(</w:t>
      </w:r>
      <w:hyperlink r:id="rId8" w:history="1">
        <w:r w:rsidR="00DA5670" w:rsidRPr="001565EC">
          <w:rPr>
            <w:rStyle w:val="Hyperlink"/>
            <w:color w:val="00AEC7"/>
            <w:szCs w:val="21"/>
          </w:rPr>
          <w:t>https://www.belastingdienst.nl/wps/wcm/connect/bldcontentnl/belastingdienst/zakelijk/ondernemen/administratie/wettelijke_eisen_voor_facturen/</w:t>
        </w:r>
      </w:hyperlink>
      <w:r w:rsidR="00DA5670" w:rsidRPr="00DA5670">
        <w:rPr>
          <w:color w:val="404040" w:themeColor="text1" w:themeTint="BF"/>
          <w:szCs w:val="21"/>
        </w:rPr>
        <w:t>)</w:t>
      </w:r>
    </w:p>
    <w:p w14:paraId="69A0A70F" w14:textId="77777777" w:rsidR="00024F47" w:rsidRDefault="00024F47" w:rsidP="00126C74">
      <w:pPr>
        <w:spacing w:after="0" w:line="276" w:lineRule="auto"/>
        <w:ind w:left="709"/>
        <w:rPr>
          <w:rFonts w:cs="Times"/>
          <w:color w:val="262626"/>
          <w:szCs w:val="21"/>
        </w:rPr>
      </w:pPr>
    </w:p>
    <w:p w14:paraId="36F356EC" w14:textId="0BB60B0B" w:rsidR="00893502" w:rsidRPr="00024F47" w:rsidRDefault="00024F47" w:rsidP="00126C74">
      <w:pPr>
        <w:pStyle w:val="Listenabsatz"/>
        <w:numPr>
          <w:ilvl w:val="0"/>
          <w:numId w:val="21"/>
        </w:numPr>
        <w:spacing w:before="0" w:after="0" w:line="276" w:lineRule="auto"/>
        <w:rPr>
          <w:rFonts w:cs="Times"/>
          <w:color w:val="262626"/>
          <w:szCs w:val="21"/>
        </w:rPr>
      </w:pPr>
      <w:r>
        <w:rPr>
          <w:rFonts w:cs="Times"/>
          <w:color w:val="262626"/>
          <w:szCs w:val="21"/>
        </w:rPr>
        <w:t xml:space="preserve">ik </w:t>
      </w:r>
      <w:r w:rsidR="00893502" w:rsidRPr="00024F47">
        <w:rPr>
          <w:rFonts w:cs="Times"/>
          <w:color w:val="262626"/>
          <w:szCs w:val="21"/>
        </w:rPr>
        <w:t xml:space="preserve">om aan de eisen van betrouwbaarheid, authenticiteit en integriteit van de elektronische gegevens te kunnen voldoen via de onderlinge relatie met andere documenten (zoals een betaalbewijs) </w:t>
      </w:r>
      <w:r>
        <w:rPr>
          <w:rFonts w:cs="Times"/>
          <w:color w:val="262626"/>
          <w:szCs w:val="21"/>
        </w:rPr>
        <w:t xml:space="preserve">kan </w:t>
      </w:r>
      <w:r w:rsidR="00893502" w:rsidRPr="00024F47">
        <w:rPr>
          <w:rFonts w:cs="Times"/>
          <w:color w:val="262626"/>
          <w:szCs w:val="21"/>
        </w:rPr>
        <w:t xml:space="preserve">aantonen dat voor de controle kan worden gesteund op </w:t>
      </w:r>
      <w:r w:rsidR="009801C5">
        <w:rPr>
          <w:rFonts w:cs="Times"/>
          <w:color w:val="262626"/>
          <w:szCs w:val="21"/>
        </w:rPr>
        <w:t>de opgeslagen digitale facturen,</w:t>
      </w:r>
    </w:p>
    <w:p w14:paraId="55359D69" w14:textId="77777777" w:rsidR="00046810" w:rsidRDefault="00046810" w:rsidP="00126C74">
      <w:pPr>
        <w:spacing w:after="0" w:line="276" w:lineRule="auto"/>
        <w:ind w:left="709"/>
        <w:rPr>
          <w:rFonts w:cs="Times"/>
          <w:color w:val="262626"/>
          <w:szCs w:val="21"/>
        </w:rPr>
      </w:pPr>
    </w:p>
    <w:p w14:paraId="5071FB05" w14:textId="1A17FCAF" w:rsidR="00E814FA" w:rsidRPr="001565EC" w:rsidRDefault="00E814FA" w:rsidP="001565EC">
      <w:pPr>
        <w:pStyle w:val="Listenabsatz"/>
        <w:numPr>
          <w:ilvl w:val="0"/>
          <w:numId w:val="19"/>
        </w:numPr>
        <w:rPr>
          <w:color w:val="404040" w:themeColor="text1" w:themeTint="BF"/>
          <w:szCs w:val="21"/>
        </w:rPr>
      </w:pPr>
      <w:r w:rsidRPr="00DA5670">
        <w:rPr>
          <w:color w:val="404040" w:themeColor="text1" w:themeTint="BF"/>
          <w:szCs w:val="21"/>
        </w:rPr>
        <w:t xml:space="preserve">De toetsende instanties </w:t>
      </w:r>
      <w:r w:rsidR="00024F47" w:rsidRPr="00DA5670">
        <w:rPr>
          <w:color w:val="404040" w:themeColor="text1" w:themeTint="BF"/>
          <w:szCs w:val="21"/>
        </w:rPr>
        <w:t>conform</w:t>
      </w:r>
      <w:r w:rsidRPr="00DA5670">
        <w:rPr>
          <w:color w:val="404040" w:themeColor="text1" w:themeTint="BF"/>
          <w:szCs w:val="21"/>
        </w:rPr>
        <w:t xml:space="preserve"> art. 7.1. van de algemene aanvul</w:t>
      </w:r>
      <w:r w:rsidR="00024F47" w:rsidRPr="00DA5670">
        <w:rPr>
          <w:color w:val="404040" w:themeColor="text1" w:themeTint="BF"/>
          <w:szCs w:val="21"/>
        </w:rPr>
        <w:t>lende bepalingen INTERREG DE-NL b</w:t>
      </w:r>
      <w:r w:rsidRPr="00DA5670">
        <w:rPr>
          <w:color w:val="404040" w:themeColor="text1" w:themeTint="BF"/>
          <w:szCs w:val="21"/>
        </w:rPr>
        <w:t xml:space="preserve">ij een controle dezelfde toegangsrechten en –mogelijkheden hebben als de belastingdienst en ondersteund worden op de manier die is beschreven in de brochure “Geautomatiseerde administratie en fiscale bewaarplicht” </w:t>
      </w:r>
      <w:hyperlink r:id="rId9" w:history="1">
        <w:r w:rsidR="00DA5670" w:rsidRPr="001565EC">
          <w:rPr>
            <w:rStyle w:val="Hyperlink"/>
            <w:color w:val="00AEC7"/>
            <w:szCs w:val="21"/>
          </w:rPr>
          <w:t>https://download.belastingdienst.nl/belastingdienst/docs/geautomatiseerde_administratie_en_fiscale_bewaarplicht_al0401z11fd.pdf</w:t>
        </w:r>
      </w:hyperlink>
      <w:r w:rsidR="001565EC" w:rsidRPr="001565EC">
        <w:rPr>
          <w:rFonts w:cs="Times"/>
          <w:color w:val="262626"/>
          <w:szCs w:val="21"/>
        </w:rPr>
        <w:t>.</w:t>
      </w:r>
    </w:p>
    <w:p w14:paraId="3FB7C429" w14:textId="77777777" w:rsidR="00E814FA" w:rsidRDefault="00E814FA" w:rsidP="00126C74">
      <w:pPr>
        <w:spacing w:after="0" w:line="276" w:lineRule="auto"/>
        <w:ind w:left="709"/>
        <w:rPr>
          <w:rFonts w:cs="Times"/>
          <w:color w:val="262626"/>
          <w:szCs w:val="21"/>
        </w:rPr>
      </w:pPr>
    </w:p>
    <w:p w14:paraId="7C167D8B" w14:textId="2CE2D967" w:rsidR="00046810" w:rsidRDefault="00046810" w:rsidP="00126C74">
      <w:pPr>
        <w:spacing w:after="0" w:line="276" w:lineRule="auto"/>
        <w:jc w:val="both"/>
        <w:rPr>
          <w:b/>
          <w:color w:val="404040" w:themeColor="text1" w:themeTint="BF"/>
          <w:szCs w:val="21"/>
        </w:rPr>
      </w:pPr>
      <w:r w:rsidRPr="00046810">
        <w:rPr>
          <w:b/>
          <w:color w:val="404040" w:themeColor="text1" w:themeTint="BF"/>
          <w:szCs w:val="21"/>
        </w:rPr>
        <w:t>b) wanneer het gaat om projectpartners met zetel in Duitsland</w:t>
      </w:r>
      <w:r w:rsidR="00E814FA">
        <w:rPr>
          <w:b/>
          <w:color w:val="404040" w:themeColor="text1" w:themeTint="BF"/>
          <w:szCs w:val="21"/>
        </w:rPr>
        <w:t>:</w:t>
      </w:r>
    </w:p>
    <w:p w14:paraId="04E4A103" w14:textId="77777777" w:rsidR="00046810" w:rsidRDefault="00046810" w:rsidP="00126C74">
      <w:pPr>
        <w:spacing w:after="0" w:line="276" w:lineRule="auto"/>
        <w:jc w:val="both"/>
        <w:rPr>
          <w:b/>
          <w:color w:val="404040" w:themeColor="text1" w:themeTint="BF"/>
          <w:szCs w:val="21"/>
        </w:rPr>
      </w:pPr>
    </w:p>
    <w:p w14:paraId="42871A8E" w14:textId="7FB518DC" w:rsidR="00046810" w:rsidRDefault="00485CF5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  <w:lang w:val="de-DE"/>
        </w:rPr>
      </w:pPr>
      <w:r w:rsidRPr="00485CF5">
        <w:rPr>
          <w:color w:val="404040" w:themeColor="text1" w:themeTint="BF"/>
          <w:szCs w:val="21"/>
          <w:lang w:val="de-DE"/>
        </w:rPr>
        <w:t>Het bovengenoemde computersysteem voldoet aan de</w:t>
      </w:r>
      <w:r>
        <w:rPr>
          <w:color w:val="404040" w:themeColor="text1" w:themeTint="BF"/>
          <w:szCs w:val="21"/>
          <w:lang w:val="de-DE"/>
        </w:rPr>
        <w:t xml:space="preserve"> </w:t>
      </w:r>
      <w:r w:rsidRPr="00485CF5">
        <w:rPr>
          <w:color w:val="404040" w:themeColor="text1" w:themeTint="BF"/>
          <w:szCs w:val="21"/>
          <w:lang w:val="de-DE"/>
        </w:rPr>
        <w:t>“</w:t>
      </w:r>
      <w:r>
        <w:rPr>
          <w:color w:val="404040" w:themeColor="text1" w:themeTint="BF"/>
          <w:szCs w:val="21"/>
          <w:lang w:val="de-DE"/>
        </w:rPr>
        <w:t xml:space="preserve">Grundsätze zur </w:t>
      </w:r>
      <w:r w:rsidRPr="000644B1">
        <w:rPr>
          <w:color w:val="404040" w:themeColor="text1" w:themeTint="BF"/>
          <w:szCs w:val="21"/>
          <w:lang w:val="de-DE"/>
        </w:rPr>
        <w:t>ordnungsmäßigen Führung und Aufbewahrung von Büchern, Aufzeichnungen und Unterlagen in elektronischer Form sowie zum Datenzugriff (GoBD)</w:t>
      </w:r>
      <w:r>
        <w:rPr>
          <w:color w:val="404040" w:themeColor="text1" w:themeTint="BF"/>
          <w:szCs w:val="21"/>
          <w:lang w:val="de-DE"/>
        </w:rPr>
        <w:t>“ conform BMF-schrijven van 14 november 2014 (</w:t>
      </w:r>
      <w:r w:rsidR="00046810" w:rsidRPr="000644B1">
        <w:rPr>
          <w:color w:val="404040" w:themeColor="text1" w:themeTint="BF"/>
          <w:szCs w:val="21"/>
          <w:lang w:val="de-DE"/>
        </w:rPr>
        <w:t>Bundesministerium der Finanzen, 14.11.2014, IV A 4-S 0316/13/1000</w:t>
      </w:r>
      <w:r>
        <w:rPr>
          <w:color w:val="404040" w:themeColor="text1" w:themeTint="BF"/>
          <w:szCs w:val="21"/>
          <w:lang w:val="de-DE"/>
        </w:rPr>
        <w:t>3, BStBl I 2014, 1450)</w:t>
      </w:r>
      <w:r w:rsidR="009801C5">
        <w:rPr>
          <w:color w:val="404040" w:themeColor="text1" w:themeTint="BF"/>
          <w:szCs w:val="21"/>
          <w:lang w:val="de-DE"/>
        </w:rPr>
        <w:t>,</w:t>
      </w:r>
    </w:p>
    <w:p w14:paraId="4F04E1A4" w14:textId="77777777" w:rsidR="00485CF5" w:rsidRDefault="00485CF5" w:rsidP="00126C74">
      <w:pPr>
        <w:pStyle w:val="Listenabsatz"/>
        <w:spacing w:before="0" w:after="0" w:line="276" w:lineRule="auto"/>
        <w:rPr>
          <w:color w:val="404040" w:themeColor="text1" w:themeTint="BF"/>
          <w:szCs w:val="21"/>
          <w:lang w:val="de-DE"/>
        </w:rPr>
      </w:pPr>
    </w:p>
    <w:p w14:paraId="63938E45" w14:textId="77777777" w:rsidR="00485CF5" w:rsidRDefault="00485CF5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893502">
        <w:rPr>
          <w:color w:val="404040" w:themeColor="text1" w:themeTint="BF"/>
          <w:szCs w:val="21"/>
        </w:rPr>
        <w:lastRenderedPageBreak/>
        <w:t xml:space="preserve">De toetsende instanties zoals beschreven in art. </w:t>
      </w:r>
      <w:r>
        <w:rPr>
          <w:color w:val="404040" w:themeColor="text1" w:themeTint="BF"/>
          <w:szCs w:val="21"/>
        </w:rPr>
        <w:t>7.1. van de algemene aanvullende bepalingen INTERREG DE-NL,</w:t>
      </w:r>
    </w:p>
    <w:p w14:paraId="5DE0DCD0" w14:textId="77777777" w:rsidR="00485CF5" w:rsidRDefault="00485CF5" w:rsidP="00126C74">
      <w:pPr>
        <w:pStyle w:val="Listenabsatz"/>
        <w:numPr>
          <w:ilvl w:val="1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Bij een controle d</w:t>
      </w:r>
      <w:r w:rsidRPr="00A50DDF">
        <w:rPr>
          <w:color w:val="404040" w:themeColor="text1" w:themeTint="BF"/>
          <w:szCs w:val="21"/>
        </w:rPr>
        <w:t xml:space="preserve">ezelfde toegangsrechten en –mogelijkheden hebben als </w:t>
      </w:r>
      <w:r>
        <w:rPr>
          <w:color w:val="404040" w:themeColor="text1" w:themeTint="BF"/>
          <w:szCs w:val="21"/>
        </w:rPr>
        <w:t>en</w:t>
      </w:r>
    </w:p>
    <w:p w14:paraId="5FDB9041" w14:textId="6187B91D" w:rsidR="00485CF5" w:rsidRPr="00485CF5" w:rsidRDefault="00485CF5" w:rsidP="00126C74">
      <w:pPr>
        <w:pStyle w:val="Listenabsatz"/>
        <w:numPr>
          <w:ilvl w:val="1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dezelfde</w:t>
      </w:r>
      <w:r w:rsidRPr="00A50DDF">
        <w:rPr>
          <w:color w:val="404040" w:themeColor="text1" w:themeTint="BF"/>
          <w:szCs w:val="21"/>
        </w:rPr>
        <w:t xml:space="preserve"> ondersteun</w:t>
      </w:r>
      <w:r w:rsidR="00024F47">
        <w:rPr>
          <w:color w:val="404040" w:themeColor="text1" w:themeTint="BF"/>
          <w:szCs w:val="21"/>
        </w:rPr>
        <w:t>ing de uitoefening van hun recht op datatoegang ontvangen, als de “Finanzverwaltung”</w:t>
      </w:r>
      <w:r w:rsidR="009801C5">
        <w:rPr>
          <w:color w:val="404040" w:themeColor="text1" w:themeTint="BF"/>
          <w:szCs w:val="21"/>
        </w:rPr>
        <w:t>.</w:t>
      </w:r>
      <w:r w:rsidRPr="00485CF5">
        <w:rPr>
          <w:color w:val="404040" w:themeColor="text1" w:themeTint="BF"/>
          <w:szCs w:val="21"/>
        </w:rPr>
        <w:t xml:space="preserve"> </w:t>
      </w:r>
    </w:p>
    <w:p w14:paraId="19939D43" w14:textId="736340DD" w:rsidR="00485CF5" w:rsidRPr="00A61A8A" w:rsidRDefault="00485CF5" w:rsidP="00126C74">
      <w:pPr>
        <w:pStyle w:val="Listenabsatz"/>
        <w:spacing w:before="0" w:after="0" w:line="276" w:lineRule="auto"/>
        <w:ind w:left="1440"/>
        <w:rPr>
          <w:color w:val="404040" w:themeColor="text1" w:themeTint="BF"/>
          <w:szCs w:val="21"/>
        </w:rPr>
      </w:pPr>
      <w:r w:rsidRPr="00A61A8A">
        <w:rPr>
          <w:color w:val="404040" w:themeColor="text1" w:themeTint="BF"/>
          <w:szCs w:val="21"/>
        </w:rPr>
        <w:t xml:space="preserve"> </w:t>
      </w:r>
    </w:p>
    <w:p w14:paraId="7111BF87" w14:textId="77777777" w:rsidR="00046810" w:rsidRPr="00A61A8A" w:rsidRDefault="00046810" w:rsidP="00126C74">
      <w:pPr>
        <w:spacing w:after="0" w:line="276" w:lineRule="auto"/>
        <w:jc w:val="both"/>
        <w:rPr>
          <w:b/>
          <w:color w:val="404040" w:themeColor="text1" w:themeTint="BF"/>
          <w:szCs w:val="21"/>
        </w:rPr>
      </w:pPr>
    </w:p>
    <w:p w14:paraId="07B32243" w14:textId="711452C2" w:rsidR="00E814FA" w:rsidRDefault="00E814FA" w:rsidP="00126C74">
      <w:pPr>
        <w:spacing w:after="0" w:line="276" w:lineRule="auto"/>
        <w:jc w:val="both"/>
        <w:rPr>
          <w:b/>
          <w:color w:val="404040" w:themeColor="text1" w:themeTint="BF"/>
          <w:szCs w:val="21"/>
        </w:rPr>
      </w:pPr>
      <w:r>
        <w:rPr>
          <w:b/>
          <w:color w:val="404040" w:themeColor="text1" w:themeTint="BF"/>
          <w:szCs w:val="21"/>
        </w:rPr>
        <w:t>c</w:t>
      </w:r>
      <w:r w:rsidRPr="00046810">
        <w:rPr>
          <w:b/>
          <w:color w:val="404040" w:themeColor="text1" w:themeTint="BF"/>
          <w:szCs w:val="21"/>
        </w:rPr>
        <w:t xml:space="preserve">) </w:t>
      </w:r>
      <w:r>
        <w:rPr>
          <w:b/>
          <w:color w:val="404040" w:themeColor="text1" w:themeTint="BF"/>
          <w:szCs w:val="21"/>
        </w:rPr>
        <w:t>ongeacht de vestigingsplaats</w:t>
      </w:r>
      <w:r w:rsidR="00024F47">
        <w:rPr>
          <w:b/>
          <w:color w:val="404040" w:themeColor="text1" w:themeTint="BF"/>
          <w:szCs w:val="21"/>
        </w:rPr>
        <w:t>:</w:t>
      </w:r>
    </w:p>
    <w:p w14:paraId="261C9AB8" w14:textId="77777777" w:rsidR="00E814FA" w:rsidRDefault="00E814FA" w:rsidP="00126C74">
      <w:pPr>
        <w:spacing w:after="0" w:line="276" w:lineRule="auto"/>
        <w:rPr>
          <w:color w:val="404040" w:themeColor="text1" w:themeTint="BF"/>
          <w:szCs w:val="21"/>
        </w:rPr>
      </w:pPr>
    </w:p>
    <w:p w14:paraId="5105C1BD" w14:textId="4F49F8C0" w:rsidR="00A50DDF" w:rsidRDefault="00A50DDF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A50DDF">
        <w:rPr>
          <w:color w:val="404040" w:themeColor="text1" w:themeTint="BF"/>
          <w:szCs w:val="21"/>
        </w:rPr>
        <w:t xml:space="preserve">Gewaarborgd is dat de opgeslagen gegevens en de benodigde aanwijzingen voor het gebruik van deze gegevens te allen tijde binnen een redelijke termijn voor de </w:t>
      </w:r>
      <w:r>
        <w:rPr>
          <w:color w:val="404040" w:themeColor="text1" w:themeTint="BF"/>
          <w:szCs w:val="21"/>
        </w:rPr>
        <w:t xml:space="preserve">toetsende </w:t>
      </w:r>
      <w:r w:rsidRPr="00A50DDF">
        <w:rPr>
          <w:color w:val="404040" w:themeColor="text1" w:themeTint="BF"/>
          <w:szCs w:val="21"/>
        </w:rPr>
        <w:t>instanties leesbaar gemaakt kunnen worden</w:t>
      </w:r>
      <w:r>
        <w:rPr>
          <w:color w:val="404040" w:themeColor="text1" w:themeTint="BF"/>
          <w:szCs w:val="21"/>
        </w:rPr>
        <w:t xml:space="preserve"> en de hiervoor benodigde gegevens, programma’s en apparatuur/hulpmiddelen kosteloos ter beschikking word</w:t>
      </w:r>
      <w:r w:rsidR="009801C5">
        <w:rPr>
          <w:color w:val="404040" w:themeColor="text1" w:themeTint="BF"/>
          <w:szCs w:val="21"/>
        </w:rPr>
        <w:t>en gesteld,</w:t>
      </w:r>
    </w:p>
    <w:p w14:paraId="33B7CA3F" w14:textId="77777777" w:rsidR="00024F47" w:rsidRPr="00A50DDF" w:rsidRDefault="00024F47" w:rsidP="00126C74">
      <w:pPr>
        <w:pStyle w:val="Listenabsatz"/>
        <w:spacing w:before="0" w:after="0" w:line="276" w:lineRule="auto"/>
        <w:rPr>
          <w:color w:val="404040" w:themeColor="text1" w:themeTint="BF"/>
          <w:szCs w:val="21"/>
        </w:rPr>
      </w:pPr>
    </w:p>
    <w:p w14:paraId="5CF0BDE8" w14:textId="7CCB7BB4" w:rsidR="000644B1" w:rsidRPr="00A50DDF" w:rsidRDefault="00A50DDF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A50DDF">
        <w:rPr>
          <w:color w:val="404040" w:themeColor="text1" w:themeTint="BF"/>
          <w:szCs w:val="21"/>
        </w:rPr>
        <w:t xml:space="preserve">De beschikkende instantie </w:t>
      </w:r>
      <w:r w:rsidR="00486716">
        <w:rPr>
          <w:color w:val="404040" w:themeColor="text1" w:themeTint="BF"/>
          <w:szCs w:val="21"/>
        </w:rPr>
        <w:t xml:space="preserve">via het regionale programmamanagement </w:t>
      </w:r>
      <w:r w:rsidR="00486716" w:rsidRPr="00A50DDF">
        <w:rPr>
          <w:color w:val="404040" w:themeColor="text1" w:themeTint="BF"/>
          <w:szCs w:val="21"/>
        </w:rPr>
        <w:t>onmiddellijk</w:t>
      </w:r>
      <w:r w:rsidRPr="00A50DDF">
        <w:rPr>
          <w:color w:val="404040" w:themeColor="text1" w:themeTint="BF"/>
          <w:szCs w:val="21"/>
        </w:rPr>
        <w:t xml:space="preserve"> word</w:t>
      </w:r>
      <w:r w:rsidR="00486716">
        <w:rPr>
          <w:color w:val="404040" w:themeColor="text1" w:themeTint="BF"/>
          <w:szCs w:val="21"/>
        </w:rPr>
        <w:t>t</w:t>
      </w:r>
      <w:r w:rsidRPr="00A50DDF">
        <w:rPr>
          <w:color w:val="404040" w:themeColor="text1" w:themeTint="BF"/>
          <w:szCs w:val="21"/>
        </w:rPr>
        <w:t xml:space="preserve"> </w:t>
      </w:r>
      <w:r w:rsidR="00486716" w:rsidRPr="00A50DDF">
        <w:rPr>
          <w:color w:val="404040" w:themeColor="text1" w:themeTint="BF"/>
          <w:szCs w:val="21"/>
        </w:rPr>
        <w:t>geïnformeerd</w:t>
      </w:r>
      <w:r w:rsidRPr="00A50DDF">
        <w:rPr>
          <w:color w:val="404040" w:themeColor="text1" w:themeTint="BF"/>
          <w:szCs w:val="21"/>
        </w:rPr>
        <w:t xml:space="preserve"> </w:t>
      </w:r>
    </w:p>
    <w:p w14:paraId="26BC970B" w14:textId="77777777" w:rsidR="0069627B" w:rsidRPr="00A50DDF" w:rsidRDefault="0069627B" w:rsidP="00126C74">
      <w:pPr>
        <w:pStyle w:val="Listenabsatz"/>
        <w:numPr>
          <w:ilvl w:val="1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Zodra het systeem – bijvoorbeeld door updates, aanpassingen of een wijziging van de leverancier – </w:t>
      </w:r>
      <w:r w:rsidRPr="00A50DDF">
        <w:rPr>
          <w:color w:val="404040" w:themeColor="text1" w:themeTint="BF"/>
          <w:szCs w:val="21"/>
        </w:rPr>
        <w:t>niet</w:t>
      </w:r>
      <w:r>
        <w:rPr>
          <w:color w:val="404040" w:themeColor="text1" w:themeTint="BF"/>
          <w:szCs w:val="21"/>
        </w:rPr>
        <w:t xml:space="preserve"> </w:t>
      </w:r>
      <w:r w:rsidRPr="00A50DDF">
        <w:rPr>
          <w:color w:val="404040" w:themeColor="text1" w:themeTint="BF"/>
          <w:szCs w:val="21"/>
        </w:rPr>
        <w:t>meer aan de onder a)</w:t>
      </w:r>
      <w:r>
        <w:rPr>
          <w:color w:val="404040" w:themeColor="text1" w:themeTint="BF"/>
          <w:szCs w:val="21"/>
        </w:rPr>
        <w:t xml:space="preserve"> resp. b)</w:t>
      </w:r>
      <w:r w:rsidRPr="00A50DDF">
        <w:rPr>
          <w:color w:val="404040" w:themeColor="text1" w:themeTint="BF"/>
          <w:szCs w:val="21"/>
        </w:rPr>
        <w:t xml:space="preserve"> beschreven eisen voldoe</w:t>
      </w:r>
      <w:r>
        <w:rPr>
          <w:color w:val="404040" w:themeColor="text1" w:themeTint="BF"/>
          <w:szCs w:val="21"/>
        </w:rPr>
        <w:t>t.</w:t>
      </w:r>
      <w:r w:rsidRPr="00A50DDF">
        <w:rPr>
          <w:color w:val="404040" w:themeColor="text1" w:themeTint="BF"/>
          <w:szCs w:val="21"/>
        </w:rPr>
        <w:t xml:space="preserve"> </w:t>
      </w:r>
    </w:p>
    <w:p w14:paraId="2BFB4110" w14:textId="77777777" w:rsidR="0069627B" w:rsidRDefault="0069627B" w:rsidP="00126C74">
      <w:pPr>
        <w:pStyle w:val="Listenabsatz"/>
        <w:numPr>
          <w:ilvl w:val="1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A50DDF">
        <w:rPr>
          <w:color w:val="404040" w:themeColor="text1" w:themeTint="BF"/>
          <w:szCs w:val="21"/>
        </w:rPr>
        <w:t>Dit wordt betwijfeld door een derde partij (bijvoorbeeld de belastingdienst</w:t>
      </w:r>
      <w:r>
        <w:rPr>
          <w:color w:val="404040" w:themeColor="text1" w:themeTint="BF"/>
          <w:szCs w:val="21"/>
        </w:rPr>
        <w:t xml:space="preserve"> of een accountant</w:t>
      </w:r>
      <w:r w:rsidRPr="00A50DDF">
        <w:rPr>
          <w:color w:val="404040" w:themeColor="text1" w:themeTint="BF"/>
          <w:szCs w:val="21"/>
        </w:rPr>
        <w:t xml:space="preserve">) </w:t>
      </w:r>
    </w:p>
    <w:p w14:paraId="60FBC1E7" w14:textId="63D8AE72" w:rsidR="0069627B" w:rsidRDefault="0069627B" w:rsidP="00126C74">
      <w:pPr>
        <w:pStyle w:val="Listenabsatz"/>
        <w:numPr>
          <w:ilvl w:val="1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Zodra er geen gebruik meer wordt gemaakt van een elektronisch systeem</w:t>
      </w:r>
      <w:r w:rsidR="009801C5">
        <w:rPr>
          <w:color w:val="404040" w:themeColor="text1" w:themeTint="BF"/>
          <w:szCs w:val="21"/>
        </w:rPr>
        <w:t>,</w:t>
      </w:r>
    </w:p>
    <w:p w14:paraId="2CD6B0C6" w14:textId="77777777" w:rsidR="00024F47" w:rsidRPr="00A50DDF" w:rsidRDefault="00024F47" w:rsidP="00126C74">
      <w:pPr>
        <w:pStyle w:val="Listenabsatz"/>
        <w:spacing w:before="0" w:after="0" w:line="276" w:lineRule="auto"/>
        <w:ind w:left="1440"/>
        <w:rPr>
          <w:color w:val="404040" w:themeColor="text1" w:themeTint="BF"/>
          <w:szCs w:val="21"/>
        </w:rPr>
      </w:pPr>
    </w:p>
    <w:p w14:paraId="30B7BCF2" w14:textId="7DF14D24" w:rsidR="000644B1" w:rsidRDefault="00E8778D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E8778D">
        <w:rPr>
          <w:color w:val="404040" w:themeColor="text1" w:themeTint="BF"/>
          <w:szCs w:val="21"/>
        </w:rPr>
        <w:t xml:space="preserve">De bewaring en het leesbaar maken van de gegevens en documentatie </w:t>
      </w:r>
      <w:r>
        <w:rPr>
          <w:color w:val="404040" w:themeColor="text1" w:themeTint="BF"/>
          <w:szCs w:val="21"/>
        </w:rPr>
        <w:t>ook na afloop van de door de be</w:t>
      </w:r>
      <w:r w:rsidRPr="00E8778D">
        <w:rPr>
          <w:color w:val="404040" w:themeColor="text1" w:themeTint="BF"/>
          <w:szCs w:val="21"/>
        </w:rPr>
        <w:t xml:space="preserve">lastingdienst </w:t>
      </w:r>
      <w:r>
        <w:rPr>
          <w:color w:val="404040" w:themeColor="text1" w:themeTint="BF"/>
          <w:szCs w:val="21"/>
        </w:rPr>
        <w:t>gestelde termijn is gewaarborgd, voor zover dit in de beschikking is voorzien.</w:t>
      </w:r>
      <w:r w:rsidR="000644B1" w:rsidRPr="00046810">
        <w:rPr>
          <w:color w:val="404040" w:themeColor="text1" w:themeTint="BF"/>
          <w:szCs w:val="21"/>
        </w:rPr>
        <w:t xml:space="preserve"> </w:t>
      </w:r>
    </w:p>
    <w:p w14:paraId="0E5D0975" w14:textId="77777777" w:rsidR="00486716" w:rsidRPr="004C2E6F" w:rsidRDefault="00486716" w:rsidP="00126C74">
      <w:pPr>
        <w:suppressAutoHyphens w:val="0"/>
        <w:spacing w:after="0" w:line="276" w:lineRule="auto"/>
        <w:rPr>
          <w:color w:val="404040" w:themeColor="text1" w:themeTint="BF"/>
          <w:szCs w:val="21"/>
        </w:rPr>
      </w:pPr>
    </w:p>
    <w:p w14:paraId="19D6C7D3" w14:textId="77777777" w:rsidR="00486716" w:rsidRPr="003B0499" w:rsidRDefault="00486716" w:rsidP="00126C74">
      <w:pPr>
        <w:suppressAutoHyphens w:val="0"/>
        <w:spacing w:after="0" w:line="276" w:lineRule="auto"/>
        <w:rPr>
          <w:color w:val="404040" w:themeColor="text1" w:themeTint="BF"/>
          <w:szCs w:val="21"/>
        </w:rPr>
      </w:pPr>
      <w:r w:rsidRPr="003B0499">
        <w:rPr>
          <w:color w:val="404040" w:themeColor="text1" w:themeTint="BF"/>
          <w:szCs w:val="21"/>
        </w:rPr>
        <w:t xml:space="preserve">Het is mij bekend, dat </w:t>
      </w:r>
    </w:p>
    <w:p w14:paraId="5FBCA358" w14:textId="19A1B6C6" w:rsidR="00486716" w:rsidRDefault="00486716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3B0499">
        <w:rPr>
          <w:color w:val="404040" w:themeColor="text1" w:themeTint="BF"/>
          <w:szCs w:val="21"/>
        </w:rPr>
        <w:t xml:space="preserve">De genoemde controle-instanties kunnen </w:t>
      </w:r>
      <w:r>
        <w:rPr>
          <w:color w:val="404040" w:themeColor="text1" w:themeTint="BF"/>
          <w:szCs w:val="21"/>
        </w:rPr>
        <w:t xml:space="preserve">verlangen, </w:t>
      </w:r>
      <w:r w:rsidRPr="003B0499">
        <w:rPr>
          <w:color w:val="404040" w:themeColor="text1" w:themeTint="BF"/>
          <w:szCs w:val="21"/>
        </w:rPr>
        <w:t xml:space="preserve">de gegevens </w:t>
      </w:r>
      <w:r>
        <w:rPr>
          <w:color w:val="404040" w:themeColor="text1" w:themeTint="BF"/>
          <w:szCs w:val="21"/>
        </w:rPr>
        <w:t xml:space="preserve">conform </w:t>
      </w:r>
      <w:r w:rsidRPr="003B0499">
        <w:rPr>
          <w:color w:val="404040" w:themeColor="text1" w:themeTint="BF"/>
          <w:szCs w:val="21"/>
        </w:rPr>
        <w:t xml:space="preserve">de </w:t>
      </w:r>
      <w:r>
        <w:rPr>
          <w:color w:val="404040" w:themeColor="text1" w:themeTint="BF"/>
          <w:szCs w:val="21"/>
        </w:rPr>
        <w:t>eisen van de betreffende instantie digitaal aan te leveren en/of de opgeslagen documenten en gegevens in leesbare vorm of op een bruikbare gegevensdr</w:t>
      </w:r>
      <w:r w:rsidR="009801C5">
        <w:rPr>
          <w:color w:val="404040" w:themeColor="text1" w:themeTint="BF"/>
          <w:szCs w:val="21"/>
        </w:rPr>
        <w:t>ager ter beschikking te stellen,</w:t>
      </w:r>
    </w:p>
    <w:p w14:paraId="4B8442D0" w14:textId="77777777" w:rsidR="00126C74" w:rsidRPr="003B0499" w:rsidRDefault="00126C74" w:rsidP="00126C74">
      <w:pPr>
        <w:pStyle w:val="Listenabsatz"/>
        <w:spacing w:before="0" w:after="0" w:line="276" w:lineRule="auto"/>
        <w:rPr>
          <w:color w:val="404040" w:themeColor="text1" w:themeTint="BF"/>
          <w:szCs w:val="21"/>
        </w:rPr>
      </w:pPr>
    </w:p>
    <w:p w14:paraId="62D361ED" w14:textId="13D94EF6" w:rsidR="00486716" w:rsidRDefault="00486716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1625F5">
        <w:rPr>
          <w:color w:val="404040" w:themeColor="text1" w:themeTint="BF"/>
          <w:szCs w:val="21"/>
        </w:rPr>
        <w:t>De gegevens, die aan de controle-</w:t>
      </w:r>
      <w:r>
        <w:rPr>
          <w:color w:val="404040" w:themeColor="text1" w:themeTint="BF"/>
          <w:szCs w:val="21"/>
        </w:rPr>
        <w:t>instanties worden overgedragen, tot aan het einde van de subsidieperiode / de oormerki</w:t>
      </w:r>
      <w:r w:rsidR="009801C5">
        <w:rPr>
          <w:color w:val="404040" w:themeColor="text1" w:themeTint="BF"/>
          <w:szCs w:val="21"/>
        </w:rPr>
        <w:t>ngstermijn mogen worden bewaard,</w:t>
      </w:r>
    </w:p>
    <w:p w14:paraId="2C04143C" w14:textId="77777777" w:rsidR="00126C74" w:rsidRPr="00126C74" w:rsidRDefault="00126C74" w:rsidP="00126C74">
      <w:pPr>
        <w:spacing w:after="0" w:line="276" w:lineRule="auto"/>
        <w:rPr>
          <w:color w:val="404040" w:themeColor="text1" w:themeTint="BF"/>
          <w:szCs w:val="21"/>
        </w:rPr>
      </w:pPr>
    </w:p>
    <w:p w14:paraId="62609DB5" w14:textId="0EB9F306" w:rsidR="00486716" w:rsidRDefault="00486716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 w:rsidRPr="001625F5">
        <w:rPr>
          <w:color w:val="404040" w:themeColor="text1" w:themeTint="BF"/>
          <w:szCs w:val="21"/>
        </w:rPr>
        <w:t xml:space="preserve">De elektronische bewijsstukken niet worden erkend als het systeem nu of in de toekomst </w:t>
      </w:r>
      <w:r>
        <w:rPr>
          <w:color w:val="404040" w:themeColor="text1" w:themeTint="BF"/>
          <w:szCs w:val="21"/>
        </w:rPr>
        <w:t xml:space="preserve">niet aan </w:t>
      </w:r>
      <w:r w:rsidR="009801C5">
        <w:rPr>
          <w:color w:val="404040" w:themeColor="text1" w:themeTint="BF"/>
          <w:szCs w:val="21"/>
        </w:rPr>
        <w:t>de bovengenoemde punten voldoet,</w:t>
      </w:r>
    </w:p>
    <w:p w14:paraId="15544758" w14:textId="77777777" w:rsidR="00126C74" w:rsidRPr="00126C74" w:rsidRDefault="00126C74" w:rsidP="00126C74">
      <w:pPr>
        <w:spacing w:after="0" w:line="276" w:lineRule="auto"/>
        <w:rPr>
          <w:color w:val="404040" w:themeColor="text1" w:themeTint="BF"/>
          <w:szCs w:val="21"/>
        </w:rPr>
      </w:pPr>
    </w:p>
    <w:p w14:paraId="2F8F1613" w14:textId="77777777" w:rsidR="00486716" w:rsidRPr="001625F5" w:rsidRDefault="00486716" w:rsidP="00126C74">
      <w:pPr>
        <w:pStyle w:val="Listenabsatz"/>
        <w:numPr>
          <w:ilvl w:val="0"/>
          <w:numId w:val="19"/>
        </w:numPr>
        <w:spacing w:before="0" w:after="0" w:line="276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Het afgeven van een onjuiste of onvolledige verklaring een korting van de verleende subsidiemiddelen tot gevolg kan hebben.</w:t>
      </w:r>
    </w:p>
    <w:p w14:paraId="1F4EB145" w14:textId="77777777" w:rsidR="00486716" w:rsidRPr="001625F5" w:rsidRDefault="00486716" w:rsidP="00126C74">
      <w:pPr>
        <w:pStyle w:val="Listenabsatz"/>
        <w:spacing w:before="0" w:after="0" w:line="276" w:lineRule="auto"/>
        <w:rPr>
          <w:color w:val="404040" w:themeColor="text1" w:themeTint="BF"/>
          <w:szCs w:val="21"/>
        </w:rPr>
      </w:pPr>
    </w:p>
    <w:p w14:paraId="28F359CB" w14:textId="77777777" w:rsidR="00486716" w:rsidRPr="001625F5" w:rsidRDefault="00486716" w:rsidP="00126C74">
      <w:pPr>
        <w:spacing w:after="0" w:line="276" w:lineRule="auto"/>
        <w:rPr>
          <w:color w:val="404040" w:themeColor="text1" w:themeTint="BF"/>
          <w:szCs w:val="21"/>
        </w:rPr>
      </w:pPr>
    </w:p>
    <w:p w14:paraId="1AC87D4A" w14:textId="77777777" w:rsidR="00486716" w:rsidRPr="001625F5" w:rsidRDefault="00486716" w:rsidP="00126C74">
      <w:pPr>
        <w:spacing w:after="0" w:line="276" w:lineRule="auto"/>
        <w:rPr>
          <w:color w:val="404040" w:themeColor="text1" w:themeTint="BF"/>
          <w:szCs w:val="21"/>
        </w:rPr>
      </w:pPr>
    </w:p>
    <w:p w14:paraId="187B50BC" w14:textId="77777777" w:rsidR="00486716" w:rsidRPr="001625F5" w:rsidRDefault="00486716" w:rsidP="00126C74">
      <w:pPr>
        <w:spacing w:after="0" w:line="276" w:lineRule="auto"/>
        <w:rPr>
          <w:color w:val="404040" w:themeColor="text1" w:themeTint="BF"/>
          <w:szCs w:val="21"/>
        </w:rPr>
      </w:pPr>
    </w:p>
    <w:p w14:paraId="4DD4EF66" w14:textId="77777777" w:rsidR="00486716" w:rsidRPr="001625F5" w:rsidRDefault="00486716" w:rsidP="00126C74">
      <w:pPr>
        <w:spacing w:after="0" w:line="276" w:lineRule="auto"/>
        <w:rPr>
          <w:color w:val="404040" w:themeColor="text1" w:themeTint="BF"/>
          <w:szCs w:val="21"/>
        </w:rPr>
      </w:pPr>
      <w:r w:rsidRPr="001625F5">
        <w:rPr>
          <w:color w:val="404040" w:themeColor="text1" w:themeTint="BF"/>
          <w:szCs w:val="21"/>
        </w:rPr>
        <w:t>_____________________________________</w:t>
      </w:r>
      <w:r w:rsidRPr="001625F5">
        <w:rPr>
          <w:color w:val="404040" w:themeColor="text1" w:themeTint="BF"/>
          <w:szCs w:val="21"/>
        </w:rPr>
        <w:tab/>
      </w:r>
      <w:r w:rsidRPr="001625F5">
        <w:rPr>
          <w:color w:val="404040" w:themeColor="text1" w:themeTint="BF"/>
          <w:szCs w:val="21"/>
        </w:rPr>
        <w:tab/>
      </w:r>
      <w:r w:rsidRPr="001625F5">
        <w:rPr>
          <w:color w:val="404040" w:themeColor="text1" w:themeTint="BF"/>
          <w:szCs w:val="21"/>
        </w:rPr>
        <w:tab/>
        <w:t>________________________________</w:t>
      </w:r>
    </w:p>
    <w:p w14:paraId="495C148D" w14:textId="354A9283" w:rsidR="00346AE8" w:rsidRPr="00DF79EB" w:rsidRDefault="00486716" w:rsidP="00126C74">
      <w:pPr>
        <w:spacing w:after="0" w:line="276" w:lineRule="auto"/>
        <w:rPr>
          <w:szCs w:val="21"/>
          <w:lang w:val="de-DE"/>
        </w:rPr>
      </w:pPr>
      <w:r w:rsidRPr="001625F5">
        <w:rPr>
          <w:color w:val="404040" w:themeColor="text1" w:themeTint="BF"/>
          <w:szCs w:val="21"/>
        </w:rPr>
        <w:t>Handtekening tekenbevoegde vertegenwoordiger</w:t>
      </w:r>
      <w:r w:rsidRPr="001625F5">
        <w:rPr>
          <w:color w:val="404040" w:themeColor="text1" w:themeTint="BF"/>
          <w:szCs w:val="21"/>
        </w:rPr>
        <w:tab/>
      </w:r>
      <w:r w:rsidRPr="001625F5">
        <w:rPr>
          <w:color w:val="404040" w:themeColor="text1" w:themeTint="BF"/>
          <w:szCs w:val="21"/>
        </w:rPr>
        <w:tab/>
      </w:r>
      <w:r w:rsidRPr="001625F5">
        <w:rPr>
          <w:color w:val="404040" w:themeColor="text1" w:themeTint="BF"/>
          <w:szCs w:val="21"/>
        </w:rPr>
        <w:tab/>
      </w:r>
      <w:r>
        <w:rPr>
          <w:color w:val="404040" w:themeColor="text1" w:themeTint="BF"/>
          <w:szCs w:val="21"/>
        </w:rPr>
        <w:t>Plaats,</w:t>
      </w:r>
      <w:r w:rsidRPr="001625F5">
        <w:rPr>
          <w:color w:val="404040" w:themeColor="text1" w:themeTint="BF"/>
          <w:szCs w:val="21"/>
        </w:rPr>
        <w:t xml:space="preserve"> Datum</w:t>
      </w:r>
    </w:p>
    <w:sectPr w:rsidR="00346AE8" w:rsidRPr="00DF79EB" w:rsidSect="00DF79E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418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3F69" w14:textId="77777777" w:rsidR="00C23357" w:rsidRDefault="00C23357" w:rsidP="0077223B">
      <w:r>
        <w:separator/>
      </w:r>
    </w:p>
  </w:endnote>
  <w:endnote w:type="continuationSeparator" w:id="0">
    <w:p w14:paraId="02885584" w14:textId="77777777" w:rsidR="00C23357" w:rsidRDefault="00C23357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16295"/>
      <w:docPartObj>
        <w:docPartGallery w:val="Page Numbers (Bottom of Page)"/>
        <w:docPartUnique/>
      </w:docPartObj>
    </w:sdtPr>
    <w:sdtEndPr/>
    <w:sdtContent>
      <w:p w14:paraId="0675A1F9" w14:textId="6F7F5F98" w:rsidR="00DF79EB" w:rsidRDefault="00DF79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F4" w:rsidRPr="007146F4">
          <w:rPr>
            <w:noProof/>
            <w:lang w:val="de-DE"/>
          </w:rPr>
          <w:t>2</w:t>
        </w:r>
        <w:r>
          <w:fldChar w:fldCharType="end"/>
        </w:r>
      </w:p>
    </w:sdtContent>
  </w:sdt>
  <w:p w14:paraId="394B3BE3" w14:textId="77777777" w:rsidR="00DF79EB" w:rsidRDefault="00DF79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767856"/>
      <w:docPartObj>
        <w:docPartGallery w:val="Page Numbers (Bottom of Page)"/>
        <w:docPartUnique/>
      </w:docPartObj>
    </w:sdtPr>
    <w:sdtEndPr/>
    <w:sdtContent>
      <w:p w14:paraId="26910AEF" w14:textId="03539579" w:rsidR="00DF79EB" w:rsidRDefault="00DF79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79EB">
          <w:rPr>
            <w:noProof/>
            <w:lang w:val="de-DE"/>
          </w:rPr>
          <w:t>1</w:t>
        </w:r>
        <w:r>
          <w:fldChar w:fldCharType="end"/>
        </w:r>
      </w:p>
    </w:sdtContent>
  </w:sdt>
  <w:p w14:paraId="7FE8EE57" w14:textId="77777777" w:rsidR="00DF79EB" w:rsidRDefault="00DF79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11BA5" w14:textId="77777777" w:rsidR="00C23357" w:rsidRDefault="00C23357" w:rsidP="0077223B">
      <w:r>
        <w:separator/>
      </w:r>
    </w:p>
  </w:footnote>
  <w:footnote w:type="continuationSeparator" w:id="0">
    <w:p w14:paraId="79CA7F3A" w14:textId="77777777" w:rsidR="00C23357" w:rsidRDefault="00C23357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5F02" w14:textId="6763F1C4" w:rsidR="00484A2C" w:rsidRDefault="00484A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21582946" wp14:editId="003EE60A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914B7" w14:textId="553F758F" w:rsidR="00484A2C" w:rsidRDefault="00A956A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33011850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2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6AA">
      <w:rPr>
        <w:noProof/>
        <w:sz w:val="17"/>
        <w:szCs w:val="17"/>
        <w:lang w:val="de-DE" w:eastAsia="de-DE"/>
      </w:rPr>
      <mc:AlternateContent>
        <mc:Choice Requires="wps">
          <w:drawing>
            <wp:anchor distT="0" distB="0" distL="114300" distR="114300" simplePos="0" relativeHeight="251672576" behindDoc="1" locked="1" layoutInCell="1" allowOverlap="0" wp14:anchorId="3BFD1A66" wp14:editId="7E8DD047">
              <wp:simplePos x="0" y="0"/>
              <wp:positionH relativeFrom="margin">
                <wp:posOffset>0</wp:posOffset>
              </wp:positionH>
              <wp:positionV relativeFrom="paragraph">
                <wp:posOffset>426085</wp:posOffset>
              </wp:positionV>
              <wp:extent cx="1866900" cy="800100"/>
              <wp:effectExtent l="0" t="0" r="0" b="0"/>
              <wp:wrapTopAndBottom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30BE09" w14:textId="6DBC7DAE" w:rsidR="00A956AA" w:rsidRPr="00323C41" w:rsidRDefault="00A956AA" w:rsidP="00A956AA">
                          <w:pPr>
                            <w:pStyle w:val="Infotext-klein"/>
                            <w:rPr>
                              <w:rStyle w:val="SchwacheHervorhebung"/>
                              <w:lang w:val="de-DE"/>
                            </w:rPr>
                          </w:pPr>
                          <w:r w:rsidRPr="00323C41">
                            <w:rPr>
                              <w:rStyle w:val="Hervorhebung"/>
                              <w:lang w:val="de-DE"/>
                            </w:rPr>
                            <w:t>Zuletzt geändert:</w:t>
                          </w:r>
                          <w:r w:rsidRPr="00323C41">
                            <w:rPr>
                              <w:rStyle w:val="SchwacheHervorhebung"/>
                              <w:i/>
                              <w:lang w:val="de-DE"/>
                            </w:rPr>
                            <w:t xml:space="preserve"> </w:t>
                          </w:r>
                          <w:r w:rsidRPr="00323C41">
                            <w:rPr>
                              <w:rStyle w:val="SchwacheHervorhebung"/>
                              <w:i/>
                              <w:lang w:val="de-DE"/>
                            </w:rPr>
                            <w:tab/>
                          </w:r>
                          <w:r w:rsidR="000644B1">
                            <w:rPr>
                              <w:rStyle w:val="SchwacheHervorhebung"/>
                              <w:i/>
                              <w:lang w:val="de-DE"/>
                            </w:rPr>
                            <w:t>21</w:t>
                          </w:r>
                          <w:r w:rsidR="00992D2E">
                            <w:rPr>
                              <w:rStyle w:val="SchwacheHervorhebung"/>
                            </w:rPr>
                            <w:t>.08.2015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D1A6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0;margin-top:33.55pt;width:147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" o:allowoverlap="f" filled="f" stroked="f">
              <v:textbox inset="0">
                <w:txbxContent>
                  <w:p w14:paraId="7A30BE09" w14:textId="6DBC7DAE" w:rsidR="00A956AA" w:rsidRPr="00323C41" w:rsidRDefault="00A956AA" w:rsidP="00A956AA">
                    <w:pPr>
                      <w:pStyle w:val="Infotext-klein"/>
                      <w:rPr>
                        <w:rStyle w:val="SchwacheHervorhebung"/>
                        <w:lang w:val="de-DE"/>
                      </w:rPr>
                    </w:pPr>
                    <w:r w:rsidRPr="00323C41">
                      <w:rPr>
                        <w:rStyle w:val="Hervorhebung"/>
                        <w:lang w:val="de-DE"/>
                      </w:rPr>
                      <w:t>Zuletzt geändert:</w:t>
                    </w:r>
                    <w:r w:rsidRPr="00323C41">
                      <w:rPr>
                        <w:rStyle w:val="SchwacheHervorhebung"/>
                        <w:i/>
                        <w:lang w:val="de-DE"/>
                      </w:rPr>
                      <w:t xml:space="preserve"> </w:t>
                    </w:r>
                    <w:r w:rsidRPr="00323C41">
                      <w:rPr>
                        <w:rStyle w:val="SchwacheHervorhebung"/>
                        <w:i/>
                        <w:lang w:val="de-DE"/>
                      </w:rPr>
                      <w:tab/>
                    </w:r>
                    <w:r w:rsidR="000644B1">
                      <w:rPr>
                        <w:rStyle w:val="SchwacheHervorhebung"/>
                        <w:i/>
                        <w:lang w:val="de-DE"/>
                      </w:rPr>
                      <w:t>21</w:t>
                    </w:r>
                    <w:r w:rsidR="00992D2E">
                      <w:rPr>
                        <w:rStyle w:val="SchwacheHervorhebung"/>
                      </w:rPr>
                      <w:t>.08.2015</w:t>
                    </w:r>
                  </w:p>
                </w:txbxContent>
              </v:textbox>
              <w10:wrap type="topAndBottom"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394F"/>
    <w:multiLevelType w:val="hybridMultilevel"/>
    <w:tmpl w:val="593CE2E2"/>
    <w:lvl w:ilvl="0" w:tplc="94D06EE8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4282B23"/>
    <w:multiLevelType w:val="hybridMultilevel"/>
    <w:tmpl w:val="5862FD84"/>
    <w:lvl w:ilvl="0" w:tplc="38A8D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61DE6"/>
    <w:multiLevelType w:val="hybridMultilevel"/>
    <w:tmpl w:val="65AE6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C4E3E"/>
    <w:multiLevelType w:val="hybridMultilevel"/>
    <w:tmpl w:val="FC26CC48"/>
    <w:lvl w:ilvl="0" w:tplc="774E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D65BE"/>
    <w:multiLevelType w:val="hybridMultilevel"/>
    <w:tmpl w:val="FAB45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0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7"/>
  </w:num>
  <w:num w:numId="16">
    <w:abstractNumId w:val="2"/>
  </w:num>
  <w:num w:numId="17">
    <w:abstractNumId w:val="8"/>
  </w:num>
  <w:num w:numId="18">
    <w:abstractNumId w:val="5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24F47"/>
    <w:rsid w:val="000333A6"/>
    <w:rsid w:val="00046810"/>
    <w:rsid w:val="000644B1"/>
    <w:rsid w:val="000B2365"/>
    <w:rsid w:val="000C2C5F"/>
    <w:rsid w:val="001006AC"/>
    <w:rsid w:val="00126C74"/>
    <w:rsid w:val="001565EC"/>
    <w:rsid w:val="00182848"/>
    <w:rsid w:val="001B6725"/>
    <w:rsid w:val="001C1CB1"/>
    <w:rsid w:val="001F5A03"/>
    <w:rsid w:val="00244DC7"/>
    <w:rsid w:val="00346AE8"/>
    <w:rsid w:val="003D34B3"/>
    <w:rsid w:val="003F720A"/>
    <w:rsid w:val="00401C99"/>
    <w:rsid w:val="00402DAC"/>
    <w:rsid w:val="00484A2C"/>
    <w:rsid w:val="0048549E"/>
    <w:rsid w:val="00485CF5"/>
    <w:rsid w:val="00486716"/>
    <w:rsid w:val="00497056"/>
    <w:rsid w:val="004A2C7F"/>
    <w:rsid w:val="004C5E8D"/>
    <w:rsid w:val="004C6585"/>
    <w:rsid w:val="004F077E"/>
    <w:rsid w:val="005023C9"/>
    <w:rsid w:val="005119B5"/>
    <w:rsid w:val="00516724"/>
    <w:rsid w:val="00520F31"/>
    <w:rsid w:val="005260DE"/>
    <w:rsid w:val="00530791"/>
    <w:rsid w:val="005D4DAE"/>
    <w:rsid w:val="005E5B0D"/>
    <w:rsid w:val="00625DC7"/>
    <w:rsid w:val="0069627B"/>
    <w:rsid w:val="006A1F46"/>
    <w:rsid w:val="006D1DB6"/>
    <w:rsid w:val="006F64F3"/>
    <w:rsid w:val="007146F4"/>
    <w:rsid w:val="00745FD0"/>
    <w:rsid w:val="00763EBA"/>
    <w:rsid w:val="0077223B"/>
    <w:rsid w:val="00893502"/>
    <w:rsid w:val="008A79D6"/>
    <w:rsid w:val="008F3DC3"/>
    <w:rsid w:val="00916E8F"/>
    <w:rsid w:val="009801C5"/>
    <w:rsid w:val="00992D2E"/>
    <w:rsid w:val="00A50DDF"/>
    <w:rsid w:val="00A510A6"/>
    <w:rsid w:val="00A61A8A"/>
    <w:rsid w:val="00A956AA"/>
    <w:rsid w:val="00BD148D"/>
    <w:rsid w:val="00BD689E"/>
    <w:rsid w:val="00C23357"/>
    <w:rsid w:val="00C411B8"/>
    <w:rsid w:val="00D50518"/>
    <w:rsid w:val="00D87C15"/>
    <w:rsid w:val="00DA06DE"/>
    <w:rsid w:val="00DA5670"/>
    <w:rsid w:val="00DF79EB"/>
    <w:rsid w:val="00E814FA"/>
    <w:rsid w:val="00E8778D"/>
    <w:rsid w:val="00ED0352"/>
    <w:rsid w:val="00F14020"/>
    <w:rsid w:val="00F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2B4186B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paragraph" w:customStyle="1" w:styleId="Default">
    <w:name w:val="Default"/>
    <w:rsid w:val="000644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A1F4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1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stingdienst.nl/wps/wcm/connect/bldcontentnl/belastingdienst/zakelijk/ondernemen/administratie/wettelijke_eisen_voor_factur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wnload.belastingdienst.nl/belastingdienst/docs/geautomatiseerde_administratie_en_fiscale_bewaarplicht_al0401z11f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7E9CD-840D-4AFF-BCB5-D317F24F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Albert Jan van de Griend</cp:lastModifiedBy>
  <cp:revision>5</cp:revision>
  <cp:lastPrinted>2015-07-02T12:24:00Z</cp:lastPrinted>
  <dcterms:created xsi:type="dcterms:W3CDTF">2018-11-12T10:57:00Z</dcterms:created>
  <dcterms:modified xsi:type="dcterms:W3CDTF">2018-11-12T11:03:00Z</dcterms:modified>
</cp:coreProperties>
</file>